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C8" w:rsidRDefault="001B55C8" w:rsidP="00F557F2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bookmarkStart w:id="0" w:name="_GoBack"/>
      <w:bookmarkEnd w:id="0"/>
    </w:p>
    <w:p w:rsidR="00AB3B4E" w:rsidRPr="000F6B27" w:rsidRDefault="00AB3B4E" w:rsidP="001B55C8">
      <w:pPr>
        <w:numPr>
          <w:ilvl w:val="0"/>
          <w:numId w:val="1"/>
        </w:numPr>
        <w:pBdr>
          <w:top w:val="single" w:sz="4" w:space="1" w:color="auto"/>
        </w:pBdr>
        <w:tabs>
          <w:tab w:val="clear" w:pos="72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AB3B4E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The </w:t>
      </w:r>
      <w:r w:rsidR="00AF526E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Payroll Tax Rebate, </w:t>
      </w:r>
      <w:r w:rsidRPr="00AB3B4E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Revenue </w:t>
      </w:r>
      <w:r w:rsidR="00F74BB4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and Other </w:t>
      </w:r>
      <w:r w:rsidRPr="00AB3B4E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Legislation Amendment Bill </w:t>
      </w:r>
      <w:r w:rsidR="002C3F2E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2015 </w:t>
      </w:r>
      <w:r w:rsidR="00AF526E" w:rsidRPr="00AF526E">
        <w:rPr>
          <w:rFonts w:ascii="Arial" w:eastAsia="Times New Roman" w:hAnsi="Arial" w:cs="Arial"/>
          <w:bCs/>
          <w:color w:val="000000"/>
          <w:spacing w:val="-3"/>
          <w:lang w:eastAsia="en-AU"/>
        </w:rPr>
        <w:t>give</w:t>
      </w:r>
      <w:r w:rsidR="00AF526E">
        <w:rPr>
          <w:rFonts w:ascii="Arial" w:eastAsia="Times New Roman" w:hAnsi="Arial" w:cs="Arial"/>
          <w:bCs/>
          <w:color w:val="000000"/>
          <w:spacing w:val="-3"/>
          <w:lang w:eastAsia="en-AU"/>
        </w:rPr>
        <w:t>s</w:t>
      </w:r>
      <w:r w:rsidR="00AF526E" w:rsidRPr="00AF526E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effect to a 2015 election commitment by the Government, funded for three years, in relation to a payroll tax rebate on the wages of apprentices and trainees</w:t>
      </w:r>
      <w:r w:rsidR="00AF526E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(the Rebate)</w:t>
      </w:r>
      <w:r w:rsidR="00AF526E" w:rsidRPr="00AF526E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.  </w:t>
      </w:r>
    </w:p>
    <w:p w:rsidR="00C52E14" w:rsidRPr="000F6B27" w:rsidRDefault="003120C0" w:rsidP="001B55C8">
      <w:pPr>
        <w:numPr>
          <w:ilvl w:val="0"/>
          <w:numId w:val="1"/>
        </w:numPr>
        <w:pBdr>
          <w:top w:val="single" w:sz="4" w:space="1" w:color="auto"/>
        </w:pBdr>
        <w:tabs>
          <w:tab w:val="clear" w:pos="720"/>
        </w:tabs>
        <w:spacing w:before="240" w:after="120" w:line="240" w:lineRule="auto"/>
        <w:ind w:left="357" w:hanging="357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>
        <w:rPr>
          <w:rFonts w:ascii="Arial" w:eastAsia="Times New Roman" w:hAnsi="Arial" w:cs="Arial"/>
          <w:color w:val="000000"/>
          <w:kern w:val="20"/>
          <w:lang w:eastAsia="en-AU"/>
        </w:rPr>
        <w:t>The Bill also proposed to amend the following</w:t>
      </w:r>
      <w:r w:rsidR="00C52E14" w:rsidRPr="000F6B27">
        <w:rPr>
          <w:rFonts w:ascii="Arial" w:eastAsia="Times New Roman" w:hAnsi="Arial" w:cs="Arial"/>
          <w:color w:val="000000"/>
          <w:kern w:val="20"/>
          <w:lang w:eastAsia="en-AU"/>
        </w:rPr>
        <w:t>:</w:t>
      </w:r>
    </w:p>
    <w:p w:rsidR="00AF526E" w:rsidRPr="00AF526E" w:rsidRDefault="00AF526E" w:rsidP="00E238E9">
      <w:pPr>
        <w:pStyle w:val="ListParagraph"/>
        <w:numPr>
          <w:ilvl w:val="0"/>
          <w:numId w:val="6"/>
        </w:numPr>
        <w:spacing w:before="120" w:after="0" w:line="240" w:lineRule="auto"/>
        <w:ind w:hanging="357"/>
        <w:contextualSpacing w:val="0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C52E14">
        <w:rPr>
          <w:rFonts w:ascii="Arial" w:eastAsia="Times New Roman" w:hAnsi="Arial" w:cs="Arial"/>
          <w:i/>
          <w:color w:val="000000"/>
          <w:kern w:val="20"/>
          <w:lang w:eastAsia="en-AU"/>
        </w:rPr>
        <w:t>Payroll Tax Act 1971</w:t>
      </w:r>
      <w:r w:rsidRPr="00C52E14">
        <w:rPr>
          <w:rFonts w:ascii="Arial" w:eastAsia="Times New Roman" w:hAnsi="Arial" w:cs="Arial"/>
          <w:color w:val="000000"/>
          <w:kern w:val="20"/>
          <w:lang w:eastAsia="en-AU"/>
        </w:rPr>
        <w:t xml:space="preserve"> </w:t>
      </w:r>
      <w:r>
        <w:rPr>
          <w:rFonts w:ascii="Arial" w:eastAsia="Times New Roman" w:hAnsi="Arial" w:cs="Arial"/>
          <w:color w:val="000000"/>
          <w:kern w:val="20"/>
          <w:lang w:eastAsia="en-AU"/>
        </w:rPr>
        <w:t xml:space="preserve">– to </w:t>
      </w:r>
      <w:r w:rsidRPr="00AF526E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give effect to the </w:t>
      </w:r>
      <w:r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Rebate </w:t>
      </w:r>
      <w:r w:rsidRPr="00AF526E">
        <w:rPr>
          <w:rFonts w:ascii="Arial" w:eastAsia="Times New Roman" w:hAnsi="Arial" w:cs="Arial"/>
          <w:bCs/>
          <w:color w:val="000000"/>
          <w:spacing w:val="-3"/>
          <w:lang w:eastAsia="en-AU"/>
        </w:rPr>
        <w:t>by extending the application of existing provisions which allowed a similar rebate for 2009-10, 2010-11 and 2011-12 financial years, to relevant wages paid or payable in the 2015-16, 2016-17 and 2017-18 financial years</w:t>
      </w:r>
      <w:r>
        <w:rPr>
          <w:rFonts w:ascii="Arial" w:eastAsia="Times New Roman" w:hAnsi="Arial" w:cs="Arial"/>
          <w:bCs/>
          <w:color w:val="000000"/>
          <w:spacing w:val="-3"/>
          <w:lang w:eastAsia="en-AU"/>
        </w:rPr>
        <w:t>.</w:t>
      </w:r>
      <w:r w:rsidR="003935F1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 Other amendments </w:t>
      </w:r>
      <w:r w:rsidR="003935F1" w:rsidRPr="00C52E14">
        <w:rPr>
          <w:rFonts w:ascii="Arial" w:eastAsia="Times New Roman" w:hAnsi="Arial" w:cs="Arial"/>
          <w:color w:val="000000"/>
          <w:kern w:val="20"/>
          <w:lang w:eastAsia="en-AU"/>
        </w:rPr>
        <w:t>clarify the application of existing exemptions from liability under the relevant contractor provisions, update references to the national framework for certified qualifications and remove a redundant provision</w:t>
      </w:r>
      <w:r w:rsidR="003935F1">
        <w:rPr>
          <w:rFonts w:ascii="Arial" w:eastAsia="Times New Roman" w:hAnsi="Arial" w:cs="Arial"/>
          <w:color w:val="000000"/>
          <w:kern w:val="20"/>
          <w:lang w:eastAsia="en-AU"/>
        </w:rPr>
        <w:t>.</w:t>
      </w:r>
    </w:p>
    <w:p w:rsidR="00AB3B4E" w:rsidRPr="00142EAF" w:rsidRDefault="00142EAF" w:rsidP="00E238E9">
      <w:pPr>
        <w:pStyle w:val="ListParagraph"/>
        <w:numPr>
          <w:ilvl w:val="0"/>
          <w:numId w:val="6"/>
        </w:numPr>
        <w:spacing w:before="120" w:after="0" w:line="240" w:lineRule="auto"/>
        <w:ind w:hanging="357"/>
        <w:contextualSpacing w:val="0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142EAF">
        <w:rPr>
          <w:rFonts w:ascii="Arial" w:eastAsia="Times New Roman" w:hAnsi="Arial" w:cs="Arial"/>
          <w:i/>
          <w:color w:val="000000"/>
          <w:kern w:val="20"/>
          <w:lang w:eastAsia="en-AU"/>
        </w:rPr>
        <w:t>Duties Act 2001</w:t>
      </w:r>
      <w:r w:rsidRPr="00142EAF">
        <w:rPr>
          <w:rFonts w:ascii="Arial" w:eastAsia="Times New Roman" w:hAnsi="Arial" w:cs="Arial"/>
          <w:color w:val="000000"/>
          <w:kern w:val="20"/>
          <w:lang w:eastAsia="en-AU"/>
        </w:rPr>
        <w:t xml:space="preserve"> - t</w:t>
      </w:r>
      <w:r w:rsidR="00AB3B4E" w:rsidRPr="00142EAF">
        <w:rPr>
          <w:rFonts w:ascii="Arial" w:eastAsia="Times New Roman" w:hAnsi="Arial" w:cs="Arial"/>
          <w:color w:val="000000"/>
          <w:kern w:val="20"/>
          <w:lang w:eastAsia="en-AU"/>
        </w:rPr>
        <w:t xml:space="preserve">he duties and taxation administration frameworks will be amended to implement a transfer duty model to support electronic conveyancing in Queensland which will provide an alternative to parties attending a physical settlement.  </w:t>
      </w:r>
      <w:r w:rsidRPr="00142EAF">
        <w:rPr>
          <w:rFonts w:ascii="Arial" w:eastAsia="Times New Roman" w:hAnsi="Arial" w:cs="Arial"/>
          <w:color w:val="000000"/>
          <w:kern w:val="20"/>
          <w:lang w:eastAsia="en-AU"/>
        </w:rPr>
        <w:t>Proposed amendments will also give</w:t>
      </w:r>
      <w:r w:rsidR="00AB3B4E" w:rsidRPr="00142EAF">
        <w:rPr>
          <w:rFonts w:ascii="Arial" w:eastAsia="Times New Roman" w:hAnsi="Arial" w:cs="Arial"/>
          <w:color w:val="000000"/>
          <w:kern w:val="20"/>
          <w:lang w:eastAsia="en-AU"/>
        </w:rPr>
        <w:t xml:space="preserve"> effect to a number of beneficial administrative arrangements</w:t>
      </w:r>
      <w:r w:rsidRPr="00142EAF">
        <w:rPr>
          <w:rFonts w:ascii="Arial" w:eastAsia="Times New Roman" w:hAnsi="Arial" w:cs="Arial"/>
          <w:color w:val="000000"/>
          <w:kern w:val="20"/>
          <w:lang w:eastAsia="en-AU"/>
        </w:rPr>
        <w:t xml:space="preserve">.  Other amendments will repeal a number of redundant provisions and update </w:t>
      </w:r>
      <w:r w:rsidR="00AB3B4E" w:rsidRPr="00142EAF">
        <w:rPr>
          <w:rFonts w:ascii="Arial" w:eastAsia="Times New Roman" w:hAnsi="Arial" w:cs="Arial"/>
          <w:color w:val="000000"/>
          <w:kern w:val="20"/>
          <w:lang w:eastAsia="en-AU"/>
        </w:rPr>
        <w:t xml:space="preserve">example for the calculation of vehicle registration duty to reflect current transfer duty rates. </w:t>
      </w:r>
    </w:p>
    <w:p w:rsidR="00AB3B4E" w:rsidRPr="00C52E14" w:rsidRDefault="00142EAF" w:rsidP="00E238E9">
      <w:pPr>
        <w:pStyle w:val="ListParagraph"/>
        <w:numPr>
          <w:ilvl w:val="0"/>
          <w:numId w:val="6"/>
        </w:numPr>
        <w:spacing w:before="120" w:after="0" w:line="240" w:lineRule="auto"/>
        <w:ind w:hanging="357"/>
        <w:contextualSpacing w:val="0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>
        <w:rPr>
          <w:rFonts w:ascii="Arial" w:eastAsia="Times New Roman" w:hAnsi="Arial" w:cs="Arial"/>
          <w:bCs/>
          <w:i/>
          <w:color w:val="000000"/>
          <w:spacing w:val="-3"/>
          <w:lang w:eastAsia="en-AU"/>
        </w:rPr>
        <w:t xml:space="preserve">First Home Owner Grant </w:t>
      </w:r>
      <w:r w:rsidR="005C4C97">
        <w:rPr>
          <w:rFonts w:ascii="Arial" w:eastAsia="Times New Roman" w:hAnsi="Arial" w:cs="Arial"/>
          <w:bCs/>
          <w:i/>
          <w:color w:val="000000"/>
          <w:spacing w:val="-3"/>
          <w:lang w:eastAsia="en-AU"/>
        </w:rPr>
        <w:t>A</w:t>
      </w:r>
      <w:r>
        <w:rPr>
          <w:rFonts w:ascii="Arial" w:eastAsia="Times New Roman" w:hAnsi="Arial" w:cs="Arial"/>
          <w:bCs/>
          <w:i/>
          <w:color w:val="000000"/>
          <w:spacing w:val="-3"/>
          <w:lang w:eastAsia="en-AU"/>
        </w:rPr>
        <w:t xml:space="preserve">ct 2000 </w:t>
      </w:r>
      <w:r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- </w:t>
      </w:r>
      <w:r w:rsidR="00AB3B4E" w:rsidRPr="00C52E14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to </w:t>
      </w:r>
      <w:r w:rsidR="00AB3B4E" w:rsidRPr="00C52E14">
        <w:rPr>
          <w:rFonts w:ascii="Arial" w:eastAsia="Times New Roman" w:hAnsi="Arial" w:cs="Arial"/>
          <w:color w:val="000000"/>
          <w:kern w:val="20"/>
          <w:lang w:eastAsia="en-AU"/>
        </w:rPr>
        <w:t>ensure the Commissioner of State Revenue can exercise certain taxpayer beneficial discretions to grant an exemption from eligibility required for the grant, without time limitations.</w:t>
      </w:r>
      <w:r w:rsidR="00AB3B4E" w:rsidRPr="00C52E14">
        <w:rPr>
          <w:rFonts w:ascii="Times New Roman" w:eastAsia="Times New Roman" w:hAnsi="Times New Roman"/>
          <w:color w:val="000000"/>
          <w:kern w:val="20"/>
          <w:sz w:val="24"/>
          <w:szCs w:val="24"/>
          <w:lang w:eastAsia="en-AU"/>
        </w:rPr>
        <w:t xml:space="preserve">  </w:t>
      </w:r>
    </w:p>
    <w:p w:rsidR="00AB3B4E" w:rsidRPr="00C52E14" w:rsidRDefault="00AB3B4E" w:rsidP="00E238E9">
      <w:pPr>
        <w:pStyle w:val="ListParagraph"/>
        <w:numPr>
          <w:ilvl w:val="0"/>
          <w:numId w:val="6"/>
        </w:numPr>
        <w:spacing w:before="120" w:after="0" w:line="240" w:lineRule="auto"/>
        <w:ind w:hanging="357"/>
        <w:contextualSpacing w:val="0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C52E14">
        <w:rPr>
          <w:rFonts w:ascii="Arial" w:eastAsia="Times New Roman" w:hAnsi="Arial" w:cs="Arial"/>
          <w:i/>
          <w:color w:val="000000"/>
          <w:kern w:val="20"/>
          <w:lang w:eastAsia="en-AU"/>
        </w:rPr>
        <w:t>Taxation Administration Act 2001</w:t>
      </w:r>
      <w:r w:rsidRPr="00C52E14">
        <w:rPr>
          <w:rFonts w:ascii="Arial" w:eastAsia="Times New Roman" w:hAnsi="Arial" w:cs="Arial"/>
          <w:color w:val="000000"/>
          <w:kern w:val="20"/>
          <w:lang w:eastAsia="en-AU"/>
        </w:rPr>
        <w:t xml:space="preserve"> </w:t>
      </w:r>
      <w:r w:rsidR="00142EAF">
        <w:rPr>
          <w:rFonts w:ascii="Arial" w:eastAsia="Times New Roman" w:hAnsi="Arial" w:cs="Arial"/>
          <w:color w:val="000000"/>
          <w:kern w:val="20"/>
          <w:lang w:eastAsia="en-AU"/>
        </w:rPr>
        <w:t xml:space="preserve">- </w:t>
      </w:r>
      <w:r w:rsidRPr="00C52E14">
        <w:rPr>
          <w:rFonts w:ascii="Arial" w:eastAsia="Times New Roman" w:hAnsi="Arial" w:cs="Arial"/>
          <w:color w:val="000000"/>
          <w:kern w:val="20"/>
          <w:lang w:eastAsia="en-AU"/>
        </w:rPr>
        <w:t>to allow the payment of interest for successful objections against tax assessments, and to correct a cross-reference.</w:t>
      </w:r>
    </w:p>
    <w:p w:rsidR="00AB3B4E" w:rsidRPr="00080CFC" w:rsidRDefault="00AB3B4E" w:rsidP="00E238E9">
      <w:pPr>
        <w:pStyle w:val="ListParagraph"/>
        <w:numPr>
          <w:ilvl w:val="0"/>
          <w:numId w:val="6"/>
        </w:numPr>
        <w:spacing w:before="120" w:after="0" w:line="240" w:lineRule="auto"/>
        <w:ind w:hanging="357"/>
        <w:contextualSpacing w:val="0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C52E14">
        <w:rPr>
          <w:rFonts w:ascii="Arial" w:eastAsia="Times New Roman" w:hAnsi="Arial" w:cs="Arial"/>
          <w:i/>
          <w:color w:val="000000"/>
          <w:kern w:val="20"/>
          <w:lang w:eastAsia="en-AU"/>
        </w:rPr>
        <w:t>Financial Accountability Act 2009</w:t>
      </w:r>
      <w:r w:rsidRPr="00C52E14">
        <w:rPr>
          <w:rFonts w:ascii="Arial" w:eastAsia="Times New Roman" w:hAnsi="Arial" w:cs="Arial"/>
          <w:color w:val="000000"/>
          <w:kern w:val="20"/>
          <w:lang w:eastAsia="en-AU"/>
        </w:rPr>
        <w:t xml:space="preserve"> </w:t>
      </w:r>
      <w:r w:rsidR="000F6B27">
        <w:rPr>
          <w:rFonts w:ascii="Arial" w:eastAsia="Times New Roman" w:hAnsi="Arial" w:cs="Arial"/>
          <w:color w:val="000000"/>
          <w:kern w:val="20"/>
          <w:lang w:eastAsia="en-AU"/>
        </w:rPr>
        <w:t xml:space="preserve">- </w:t>
      </w:r>
      <w:r w:rsidR="000F6B27">
        <w:rPr>
          <w:rFonts w:ascii="Arial" w:eastAsia="Times New Roman" w:hAnsi="Arial" w:cs="Arial"/>
          <w:bCs/>
          <w:color w:val="000000"/>
          <w:spacing w:val="-3"/>
          <w:lang w:eastAsia="en-AU"/>
        </w:rPr>
        <w:t>to ensure the legislation reflects modern financial management practices and to streamline certain procedural matters</w:t>
      </w:r>
      <w:r w:rsidR="000F6B27">
        <w:rPr>
          <w:rFonts w:ascii="Arial" w:eastAsia="Times New Roman" w:hAnsi="Arial" w:cs="Arial"/>
          <w:color w:val="000000"/>
          <w:kern w:val="20"/>
          <w:lang w:eastAsia="en-AU"/>
        </w:rPr>
        <w:t>.</w:t>
      </w:r>
    </w:p>
    <w:p w:rsidR="00080CFC" w:rsidRPr="00080CFC" w:rsidRDefault="00080CFC" w:rsidP="00E238E9">
      <w:pPr>
        <w:pStyle w:val="ListParagraph"/>
        <w:numPr>
          <w:ilvl w:val="0"/>
          <w:numId w:val="6"/>
        </w:numPr>
        <w:spacing w:before="120" w:after="0" w:line="240" w:lineRule="auto"/>
        <w:ind w:hanging="357"/>
        <w:contextualSpacing w:val="0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>
        <w:rPr>
          <w:rFonts w:ascii="Arial" w:eastAsia="Times New Roman" w:hAnsi="Arial" w:cs="Arial"/>
          <w:i/>
          <w:color w:val="000000"/>
          <w:kern w:val="20"/>
          <w:lang w:eastAsia="en-AU"/>
        </w:rPr>
        <w:t xml:space="preserve">Electrical Safety Act 2002, Queensland Building and Construction Commission Act 1991 </w:t>
      </w:r>
      <w:r>
        <w:rPr>
          <w:rFonts w:ascii="Arial" w:eastAsia="Times New Roman" w:hAnsi="Arial" w:cs="Arial"/>
          <w:color w:val="000000"/>
          <w:kern w:val="20"/>
          <w:lang w:eastAsia="en-AU"/>
        </w:rPr>
        <w:t xml:space="preserve">– to delay for a further 12 months certain non-commenced amendments in the </w:t>
      </w:r>
      <w:r>
        <w:rPr>
          <w:rFonts w:ascii="Arial" w:eastAsia="Times New Roman" w:hAnsi="Arial" w:cs="Arial"/>
          <w:i/>
          <w:color w:val="000000"/>
          <w:kern w:val="20"/>
          <w:lang w:eastAsia="en-AU"/>
        </w:rPr>
        <w:t xml:space="preserve">Criminal Law (Criminal Organisations Disruption) and Other Legislation Amendment Act 2013 </w:t>
      </w:r>
      <w:r>
        <w:rPr>
          <w:rFonts w:ascii="Arial" w:eastAsia="Times New Roman" w:hAnsi="Arial" w:cs="Arial"/>
          <w:color w:val="000000"/>
          <w:kern w:val="20"/>
          <w:lang w:eastAsia="en-AU"/>
        </w:rPr>
        <w:t xml:space="preserve"> aimed at excluding motorcycle gang members from working in certain licenced occupations.</w:t>
      </w:r>
    </w:p>
    <w:p w:rsidR="00080CFC" w:rsidRPr="00C52E14" w:rsidRDefault="00080CFC" w:rsidP="00E238E9">
      <w:pPr>
        <w:pStyle w:val="ListParagraph"/>
        <w:numPr>
          <w:ilvl w:val="0"/>
          <w:numId w:val="6"/>
        </w:numPr>
        <w:spacing w:before="120" w:after="0" w:line="240" w:lineRule="auto"/>
        <w:ind w:hanging="357"/>
        <w:contextualSpacing w:val="0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>
        <w:rPr>
          <w:rFonts w:ascii="Arial" w:eastAsia="Times New Roman" w:hAnsi="Arial" w:cs="Arial"/>
          <w:i/>
          <w:color w:val="000000"/>
          <w:kern w:val="20"/>
          <w:lang w:eastAsia="en-AU"/>
        </w:rPr>
        <w:t>Environment Protection Act 1994</w:t>
      </w:r>
      <w:r>
        <w:rPr>
          <w:rFonts w:ascii="Arial" w:eastAsia="Times New Roman" w:hAnsi="Arial" w:cs="Arial"/>
          <w:color w:val="000000"/>
          <w:kern w:val="20"/>
          <w:lang w:eastAsia="en-AU"/>
        </w:rPr>
        <w:t xml:space="preserve"> – to ensure a transitional environmental program (TEP) or a temporary emissions licence (TEL) can be cancelled, where it is clear the TEP or TEL is no longer required, once it reaches the end of its useful life.</w:t>
      </w:r>
    </w:p>
    <w:p w:rsidR="00F901B9" w:rsidRPr="00C52E14" w:rsidRDefault="00080CFC" w:rsidP="00E238E9">
      <w:pPr>
        <w:pStyle w:val="ListParagraph"/>
        <w:numPr>
          <w:ilvl w:val="0"/>
          <w:numId w:val="6"/>
        </w:numPr>
        <w:spacing w:before="120" w:after="0" w:line="240" w:lineRule="auto"/>
        <w:ind w:hanging="357"/>
        <w:contextualSpacing w:val="0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>
        <w:rPr>
          <w:rFonts w:ascii="Arial" w:eastAsia="Times New Roman" w:hAnsi="Arial" w:cs="Arial"/>
          <w:bCs/>
          <w:i/>
          <w:color w:val="000000"/>
          <w:spacing w:val="-3"/>
          <w:lang w:eastAsia="en-AU"/>
        </w:rPr>
        <w:t xml:space="preserve">Plumbing and Drainage Act </w:t>
      </w:r>
      <w:r w:rsidRPr="006D23FA">
        <w:rPr>
          <w:rFonts w:ascii="Arial" w:eastAsia="Times New Roman" w:hAnsi="Arial" w:cs="Arial"/>
          <w:i/>
          <w:color w:val="000000"/>
          <w:kern w:val="20"/>
          <w:lang w:eastAsia="en-AU"/>
        </w:rPr>
        <w:t>2002</w:t>
      </w:r>
      <w:r>
        <w:rPr>
          <w:rFonts w:ascii="Arial" w:eastAsia="Times New Roman" w:hAnsi="Arial" w:cs="Arial"/>
          <w:bCs/>
          <w:i/>
          <w:color w:val="000000"/>
          <w:spacing w:val="-3"/>
          <w:lang w:eastAsia="en-AU"/>
        </w:rPr>
        <w:t xml:space="preserve"> </w:t>
      </w:r>
      <w:r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(Plumbing Act) and </w:t>
      </w:r>
      <w:r>
        <w:rPr>
          <w:rFonts w:ascii="Arial" w:eastAsia="Times New Roman" w:hAnsi="Arial" w:cs="Arial"/>
          <w:bCs/>
          <w:i/>
          <w:color w:val="000000"/>
          <w:spacing w:val="-3"/>
          <w:lang w:eastAsia="en-AU"/>
        </w:rPr>
        <w:t xml:space="preserve">Water Supply (Safety and Reliability) Act 2008 </w:t>
      </w:r>
      <w:r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(Water Supply Act) </w:t>
      </w:r>
      <w:r w:rsidR="003120C0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-  and amends the Plumbing act and Water Supply Act to clarify that installing a water meter </w:t>
      </w:r>
      <w:r>
        <w:rPr>
          <w:rFonts w:ascii="Arial" w:eastAsia="Times New Roman" w:hAnsi="Arial" w:cs="Arial"/>
          <w:bCs/>
          <w:color w:val="000000"/>
          <w:spacing w:val="-3"/>
          <w:lang w:eastAsia="en-AU"/>
        </w:rPr>
        <w:t>is ‘plumbing work’ that must be performed by a licenced plumber.</w:t>
      </w:r>
    </w:p>
    <w:p w:rsidR="00AB3B4E" w:rsidRPr="00C52E14" w:rsidRDefault="00AB3B4E" w:rsidP="001B55C8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360" w:hanging="357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0F6B27">
        <w:rPr>
          <w:rFonts w:ascii="Arial" w:eastAsia="Times New Roman" w:hAnsi="Arial" w:cs="Arial"/>
          <w:color w:val="000000"/>
          <w:kern w:val="20"/>
          <w:u w:val="single"/>
          <w:lang w:eastAsia="en-AU"/>
        </w:rPr>
        <w:t>Cabinet</w:t>
      </w:r>
      <w:r w:rsidRPr="00C52E14">
        <w:rPr>
          <w:rFonts w:ascii="Arial" w:eastAsia="Times New Roman" w:hAnsi="Arial" w:cs="Arial"/>
          <w:color w:val="000000"/>
          <w:u w:val="single"/>
          <w:lang w:eastAsia="en-AU"/>
        </w:rPr>
        <w:t xml:space="preserve"> approved</w:t>
      </w:r>
      <w:r w:rsidRPr="00C52E14">
        <w:rPr>
          <w:rFonts w:ascii="Arial" w:eastAsia="Times New Roman" w:hAnsi="Arial" w:cs="Arial"/>
          <w:color w:val="000000"/>
          <w:lang w:eastAsia="en-AU"/>
        </w:rPr>
        <w:t xml:space="preserve"> the </w:t>
      </w:r>
      <w:r w:rsidR="00AF526E">
        <w:rPr>
          <w:rFonts w:ascii="Arial" w:eastAsia="Times New Roman" w:hAnsi="Arial" w:cs="Arial"/>
          <w:color w:val="000000"/>
          <w:lang w:eastAsia="en-AU"/>
        </w:rPr>
        <w:t xml:space="preserve">Payroll Tax Rebate, </w:t>
      </w:r>
      <w:r w:rsidRPr="00C52E14">
        <w:rPr>
          <w:rFonts w:ascii="Arial" w:eastAsia="Times New Roman" w:hAnsi="Arial" w:cs="Arial"/>
          <w:color w:val="000000"/>
          <w:lang w:eastAsia="en-AU"/>
        </w:rPr>
        <w:t xml:space="preserve">Revenue </w:t>
      </w:r>
      <w:r w:rsidR="00C52E14" w:rsidRPr="00C52E14">
        <w:rPr>
          <w:rFonts w:ascii="Arial" w:eastAsia="Times New Roman" w:hAnsi="Arial" w:cs="Arial"/>
          <w:color w:val="000000"/>
          <w:lang w:eastAsia="en-AU"/>
        </w:rPr>
        <w:t xml:space="preserve">and Other </w:t>
      </w:r>
      <w:r w:rsidRPr="00C52E14">
        <w:rPr>
          <w:rFonts w:ascii="Arial" w:eastAsia="Times New Roman" w:hAnsi="Arial" w:cs="Arial"/>
          <w:color w:val="000000"/>
          <w:lang w:eastAsia="en-AU"/>
        </w:rPr>
        <w:t xml:space="preserve">Legislation Amendment Bill </w:t>
      </w:r>
      <w:r w:rsidR="00E238E9">
        <w:rPr>
          <w:rFonts w:ascii="Arial" w:eastAsia="Times New Roman" w:hAnsi="Arial" w:cs="Arial"/>
          <w:color w:val="000000"/>
          <w:lang w:eastAsia="en-AU"/>
        </w:rPr>
        <w:t xml:space="preserve">2015 </w:t>
      </w:r>
      <w:r w:rsidRPr="00C52E14">
        <w:rPr>
          <w:rFonts w:ascii="Arial" w:eastAsia="Times New Roman" w:hAnsi="Arial" w:cs="Arial"/>
          <w:color w:val="000000"/>
          <w:lang w:eastAsia="en-AU"/>
        </w:rPr>
        <w:t>be introduced into the Legislative Assembly.</w:t>
      </w:r>
    </w:p>
    <w:p w:rsidR="00AB3B4E" w:rsidRPr="00F557F2" w:rsidRDefault="00AB3B4E" w:rsidP="00E238E9">
      <w:pPr>
        <w:numPr>
          <w:ilvl w:val="0"/>
          <w:numId w:val="1"/>
        </w:numPr>
        <w:tabs>
          <w:tab w:val="clear" w:pos="720"/>
        </w:tabs>
        <w:spacing w:before="360" w:after="0" w:line="240" w:lineRule="auto"/>
        <w:ind w:left="360" w:hanging="357"/>
        <w:jc w:val="both"/>
        <w:rPr>
          <w:rFonts w:ascii="Arial" w:eastAsia="Times New Roman" w:hAnsi="Arial" w:cs="Arial"/>
          <w:color w:val="000000"/>
          <w:u w:val="single"/>
          <w:lang w:eastAsia="en-AU"/>
        </w:rPr>
      </w:pPr>
      <w:r w:rsidRPr="00F557F2">
        <w:rPr>
          <w:rFonts w:ascii="Arial" w:eastAsia="Times New Roman" w:hAnsi="Arial" w:cs="Arial"/>
          <w:color w:val="000000"/>
          <w:kern w:val="20"/>
          <w:u w:val="single"/>
          <w:lang w:eastAsia="en-AU"/>
        </w:rPr>
        <w:t>Attachments</w:t>
      </w:r>
    </w:p>
    <w:p w:rsidR="00AB3B4E" w:rsidRPr="00C52E14" w:rsidRDefault="0001557F" w:rsidP="00E238E9">
      <w:pPr>
        <w:numPr>
          <w:ilvl w:val="0"/>
          <w:numId w:val="2"/>
        </w:numPr>
        <w:spacing w:before="120" w:after="0" w:line="240" w:lineRule="auto"/>
        <w:ind w:left="811" w:hanging="357"/>
        <w:jc w:val="both"/>
        <w:rPr>
          <w:rFonts w:ascii="Arial" w:eastAsia="Times New Roman" w:hAnsi="Arial" w:cs="Arial"/>
          <w:color w:val="000000"/>
          <w:lang w:eastAsia="en-AU"/>
        </w:rPr>
      </w:pPr>
      <w:hyperlink r:id="rId11" w:history="1">
        <w:r w:rsidR="00AF526E" w:rsidRPr="00785981">
          <w:rPr>
            <w:rStyle w:val="Hyperlink"/>
            <w:rFonts w:ascii="Arial" w:eastAsia="Times New Roman" w:hAnsi="Arial" w:cs="Arial"/>
            <w:lang w:eastAsia="en-AU"/>
          </w:rPr>
          <w:t xml:space="preserve">Payroll Tax Rebate, </w:t>
        </w:r>
        <w:r w:rsidR="00AB3B4E" w:rsidRPr="00785981">
          <w:rPr>
            <w:rStyle w:val="Hyperlink"/>
            <w:rFonts w:ascii="Arial" w:eastAsia="Times New Roman" w:hAnsi="Arial" w:cs="Arial"/>
            <w:lang w:eastAsia="en-AU"/>
          </w:rPr>
          <w:t xml:space="preserve">Revenue </w:t>
        </w:r>
        <w:r w:rsidR="00C52E14" w:rsidRPr="00785981">
          <w:rPr>
            <w:rStyle w:val="Hyperlink"/>
            <w:rFonts w:ascii="Arial" w:eastAsia="Times New Roman" w:hAnsi="Arial" w:cs="Arial"/>
            <w:lang w:eastAsia="en-AU"/>
          </w:rPr>
          <w:t xml:space="preserve">and Other </w:t>
        </w:r>
        <w:r w:rsidR="00AB3B4E" w:rsidRPr="00785981">
          <w:rPr>
            <w:rStyle w:val="Hyperlink"/>
            <w:rFonts w:ascii="Arial" w:eastAsia="Times New Roman" w:hAnsi="Arial" w:cs="Arial"/>
            <w:lang w:eastAsia="en-AU"/>
          </w:rPr>
          <w:t>Legislation Amendment Bill</w:t>
        </w:r>
        <w:r w:rsidR="002C3F2E" w:rsidRPr="00785981">
          <w:rPr>
            <w:rStyle w:val="Hyperlink"/>
            <w:rFonts w:ascii="Arial" w:eastAsia="Times New Roman" w:hAnsi="Arial" w:cs="Arial"/>
            <w:lang w:eastAsia="en-AU"/>
          </w:rPr>
          <w:t xml:space="preserve"> 2015</w:t>
        </w:r>
      </w:hyperlink>
    </w:p>
    <w:p w:rsidR="00AB3B4E" w:rsidRPr="00A93BEA" w:rsidRDefault="0001557F" w:rsidP="00E238E9">
      <w:pPr>
        <w:numPr>
          <w:ilvl w:val="0"/>
          <w:numId w:val="2"/>
        </w:numPr>
        <w:spacing w:before="120" w:after="0" w:line="240" w:lineRule="auto"/>
        <w:ind w:left="811" w:hanging="357"/>
        <w:jc w:val="both"/>
      </w:pPr>
      <w:hyperlink r:id="rId12" w:history="1">
        <w:r w:rsidR="00AB3B4E" w:rsidRPr="00785981">
          <w:rPr>
            <w:rStyle w:val="Hyperlink"/>
            <w:rFonts w:ascii="Arial" w:eastAsia="Times New Roman" w:hAnsi="Arial" w:cs="Arial"/>
            <w:lang w:eastAsia="en-AU"/>
          </w:rPr>
          <w:t>Explanatory Notes</w:t>
        </w:r>
      </w:hyperlink>
    </w:p>
    <w:sectPr w:rsidR="00AB3B4E" w:rsidRPr="00A93BEA" w:rsidSect="00E238E9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24" w:rsidRDefault="00A56C24" w:rsidP="001B55C8">
      <w:pPr>
        <w:spacing w:after="0" w:line="240" w:lineRule="auto"/>
      </w:pPr>
      <w:r>
        <w:separator/>
      </w:r>
    </w:p>
  </w:endnote>
  <w:endnote w:type="continuationSeparator" w:id="0">
    <w:p w:rsidR="00A56C24" w:rsidRDefault="00A56C24" w:rsidP="001B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24" w:rsidRDefault="00A56C24" w:rsidP="001B55C8">
      <w:pPr>
        <w:spacing w:after="0" w:line="240" w:lineRule="auto"/>
      </w:pPr>
      <w:r>
        <w:separator/>
      </w:r>
    </w:p>
  </w:footnote>
  <w:footnote w:type="continuationSeparator" w:id="0">
    <w:p w:rsidR="00A56C24" w:rsidRDefault="00A56C24" w:rsidP="001B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C8" w:rsidRPr="00AB3B4E" w:rsidRDefault="001B55C8" w:rsidP="001B55C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153"/>
        <w:tab w:val="right" w:pos="830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28"/>
        <w:lang w:eastAsia="en-AU"/>
      </w:rPr>
    </w:pPr>
    <w:r w:rsidRPr="00AB3B4E">
      <w:rPr>
        <w:rFonts w:ascii="Arial" w:eastAsia="Times New Roman" w:hAnsi="Arial" w:cs="Arial"/>
        <w:b/>
        <w:sz w:val="28"/>
        <w:lang w:eastAsia="en-AU"/>
      </w:rPr>
      <w:t>Queensland Government</w:t>
    </w:r>
  </w:p>
  <w:p w:rsidR="001B55C8" w:rsidRPr="00AB3B4E" w:rsidRDefault="001B55C8" w:rsidP="001B55C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153"/>
        <w:tab w:val="right" w:pos="8306"/>
        <w:tab w:val="right" w:pos="9072"/>
      </w:tabs>
      <w:spacing w:after="0" w:line="240" w:lineRule="auto"/>
      <w:rPr>
        <w:rFonts w:ascii="Arial" w:eastAsia="Times New Roman" w:hAnsi="Arial" w:cs="Arial"/>
        <w:b/>
        <w:sz w:val="14"/>
        <w:u w:val="single"/>
        <w:lang w:eastAsia="en-AU"/>
      </w:rPr>
    </w:pPr>
  </w:p>
  <w:p w:rsidR="001B55C8" w:rsidRPr="00AB3B4E" w:rsidRDefault="001B55C8" w:rsidP="001B55C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center" w:pos="4153"/>
        <w:tab w:val="right" w:pos="830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lang w:eastAsia="en-AU"/>
      </w:rPr>
    </w:pPr>
    <w:r w:rsidRPr="00AB3B4E">
      <w:rPr>
        <w:rFonts w:ascii="Arial" w:eastAsia="Times New Roman" w:hAnsi="Arial" w:cs="Arial"/>
        <w:b/>
        <w:lang w:eastAsia="en-AU"/>
      </w:rPr>
      <w:t xml:space="preserve">Cabinet – </w:t>
    </w:r>
    <w:r>
      <w:rPr>
        <w:rFonts w:ascii="Arial" w:eastAsia="Times New Roman" w:hAnsi="Arial" w:cs="Arial"/>
        <w:b/>
        <w:lang w:eastAsia="en-AU"/>
      </w:rPr>
      <w:t>March 2015</w:t>
    </w:r>
  </w:p>
  <w:p w:rsidR="001B55C8" w:rsidRDefault="001B55C8" w:rsidP="001B55C8">
    <w:pPr>
      <w:tabs>
        <w:tab w:val="center" w:pos="4153"/>
        <w:tab w:val="right" w:pos="8306"/>
      </w:tabs>
      <w:spacing w:before="120" w:after="0" w:line="240" w:lineRule="auto"/>
      <w:rPr>
        <w:rFonts w:ascii="Arial" w:eastAsia="Times New Roman" w:hAnsi="Arial" w:cs="Arial"/>
        <w:b/>
        <w:u w:val="single"/>
        <w:lang w:eastAsia="en-AU"/>
      </w:rPr>
    </w:pPr>
    <w:r>
      <w:rPr>
        <w:rFonts w:ascii="Arial" w:eastAsia="Times New Roman" w:hAnsi="Arial" w:cs="Arial"/>
        <w:b/>
        <w:u w:val="single"/>
        <w:lang w:eastAsia="en-AU"/>
      </w:rPr>
      <w:t xml:space="preserve">Payroll Tax Rebate, </w:t>
    </w:r>
    <w:r w:rsidRPr="00AB3B4E">
      <w:rPr>
        <w:rFonts w:ascii="Arial" w:eastAsia="Times New Roman" w:hAnsi="Arial" w:cs="Arial"/>
        <w:b/>
        <w:u w:val="single"/>
        <w:lang w:eastAsia="en-AU"/>
      </w:rPr>
      <w:t xml:space="preserve">Revenue </w:t>
    </w:r>
    <w:r>
      <w:rPr>
        <w:rFonts w:ascii="Arial" w:eastAsia="Times New Roman" w:hAnsi="Arial" w:cs="Arial"/>
        <w:b/>
        <w:u w:val="single"/>
        <w:lang w:eastAsia="en-AU"/>
      </w:rPr>
      <w:t>and Other Legislation Amendment Bill 2015</w:t>
    </w:r>
  </w:p>
  <w:p w:rsidR="001B55C8" w:rsidRPr="002C3F2E" w:rsidRDefault="001B55C8" w:rsidP="001B55C8">
    <w:pPr>
      <w:keepNext/>
      <w:keepLines/>
      <w:spacing w:after="0" w:line="235" w:lineRule="auto"/>
      <w:jc w:val="both"/>
      <w:rPr>
        <w:rFonts w:ascii="Arial" w:hAnsi="Arial" w:cs="Arial"/>
        <w:szCs w:val="24"/>
      </w:rPr>
    </w:pPr>
  </w:p>
  <w:p w:rsidR="001B55C8" w:rsidRPr="002C3F2E" w:rsidRDefault="001B55C8" w:rsidP="001B55C8">
    <w:pPr>
      <w:keepNext/>
      <w:keepLines/>
      <w:spacing w:after="0" w:line="240" w:lineRule="auto"/>
      <w:jc w:val="both"/>
      <w:rPr>
        <w:rFonts w:ascii="Arial" w:hAnsi="Arial" w:cs="Arial"/>
        <w:b/>
        <w:szCs w:val="24"/>
        <w:u w:val="single"/>
      </w:rPr>
    </w:pPr>
    <w:r w:rsidRPr="002C3F2E">
      <w:rPr>
        <w:rFonts w:ascii="Arial" w:hAnsi="Arial" w:cs="Arial"/>
        <w:b/>
        <w:szCs w:val="24"/>
        <w:u w:val="single"/>
      </w:rPr>
      <w:t>Treasurer, Minister for Employment and Industrial Relations</w:t>
    </w:r>
    <w:r>
      <w:rPr>
        <w:rFonts w:ascii="Arial" w:hAnsi="Arial" w:cs="Arial"/>
        <w:b/>
        <w:szCs w:val="24"/>
        <w:u w:val="single"/>
      </w:rPr>
      <w:t>,</w:t>
    </w:r>
    <w:r w:rsidRPr="002C3F2E">
      <w:rPr>
        <w:rFonts w:ascii="Arial" w:hAnsi="Arial" w:cs="Arial"/>
        <w:b/>
        <w:szCs w:val="24"/>
        <w:u w:val="single"/>
      </w:rPr>
      <w:t xml:space="preserve"> Minister for Aboriginal and Torres Strait Islander Partnerships</w:t>
    </w:r>
  </w:p>
  <w:p w:rsidR="001B55C8" w:rsidRDefault="001B55C8" w:rsidP="001B55C8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929"/>
    <w:multiLevelType w:val="hybridMultilevel"/>
    <w:tmpl w:val="0C64AFF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37EB6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C2C76"/>
    <w:multiLevelType w:val="hybridMultilevel"/>
    <w:tmpl w:val="CDBE7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333C4"/>
    <w:multiLevelType w:val="hybridMultilevel"/>
    <w:tmpl w:val="3E7A4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0C64AFF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6F"/>
    <w:rsid w:val="000100E2"/>
    <w:rsid w:val="0001557F"/>
    <w:rsid w:val="00080CFC"/>
    <w:rsid w:val="0008609E"/>
    <w:rsid w:val="000F6B27"/>
    <w:rsid w:val="001246D5"/>
    <w:rsid w:val="00131818"/>
    <w:rsid w:val="00142EAF"/>
    <w:rsid w:val="00152DDA"/>
    <w:rsid w:val="0015577D"/>
    <w:rsid w:val="0016073D"/>
    <w:rsid w:val="0016207A"/>
    <w:rsid w:val="001A3842"/>
    <w:rsid w:val="001B55C8"/>
    <w:rsid w:val="0024613E"/>
    <w:rsid w:val="00284134"/>
    <w:rsid w:val="002B0EF5"/>
    <w:rsid w:val="002C3F2E"/>
    <w:rsid w:val="002C658C"/>
    <w:rsid w:val="002D70F4"/>
    <w:rsid w:val="002D7308"/>
    <w:rsid w:val="003120C0"/>
    <w:rsid w:val="0036232F"/>
    <w:rsid w:val="00382CC9"/>
    <w:rsid w:val="003935F1"/>
    <w:rsid w:val="003B03CE"/>
    <w:rsid w:val="003C74D2"/>
    <w:rsid w:val="003E3667"/>
    <w:rsid w:val="003E6B1A"/>
    <w:rsid w:val="0040465A"/>
    <w:rsid w:val="004D6162"/>
    <w:rsid w:val="005030CA"/>
    <w:rsid w:val="00503B8D"/>
    <w:rsid w:val="00532730"/>
    <w:rsid w:val="005C0D9B"/>
    <w:rsid w:val="005C147E"/>
    <w:rsid w:val="005C4C97"/>
    <w:rsid w:val="00635DD6"/>
    <w:rsid w:val="00662857"/>
    <w:rsid w:val="0067135A"/>
    <w:rsid w:val="00674360"/>
    <w:rsid w:val="00680CEB"/>
    <w:rsid w:val="006D23FA"/>
    <w:rsid w:val="007234A9"/>
    <w:rsid w:val="00751679"/>
    <w:rsid w:val="007534D4"/>
    <w:rsid w:val="00785981"/>
    <w:rsid w:val="00787891"/>
    <w:rsid w:val="007A3776"/>
    <w:rsid w:val="0083699C"/>
    <w:rsid w:val="00850C6F"/>
    <w:rsid w:val="008C3953"/>
    <w:rsid w:val="008D3F95"/>
    <w:rsid w:val="008E3EF7"/>
    <w:rsid w:val="00901161"/>
    <w:rsid w:val="00913241"/>
    <w:rsid w:val="00944349"/>
    <w:rsid w:val="009C1CAF"/>
    <w:rsid w:val="009C769E"/>
    <w:rsid w:val="009F1A53"/>
    <w:rsid w:val="00A13864"/>
    <w:rsid w:val="00A31A21"/>
    <w:rsid w:val="00A50A44"/>
    <w:rsid w:val="00A56C24"/>
    <w:rsid w:val="00A842DF"/>
    <w:rsid w:val="00A93BEA"/>
    <w:rsid w:val="00AA0C07"/>
    <w:rsid w:val="00AB3B4E"/>
    <w:rsid w:val="00AC2B79"/>
    <w:rsid w:val="00AF526E"/>
    <w:rsid w:val="00B318EB"/>
    <w:rsid w:val="00B3306F"/>
    <w:rsid w:val="00B54BAA"/>
    <w:rsid w:val="00B763FE"/>
    <w:rsid w:val="00BB03E0"/>
    <w:rsid w:val="00BC35F2"/>
    <w:rsid w:val="00BC5114"/>
    <w:rsid w:val="00BD656C"/>
    <w:rsid w:val="00BE7D9D"/>
    <w:rsid w:val="00C11F8C"/>
    <w:rsid w:val="00C32F63"/>
    <w:rsid w:val="00C52E14"/>
    <w:rsid w:val="00CB2623"/>
    <w:rsid w:val="00CC5090"/>
    <w:rsid w:val="00D97B50"/>
    <w:rsid w:val="00DA04AE"/>
    <w:rsid w:val="00DA5CE7"/>
    <w:rsid w:val="00DA60A1"/>
    <w:rsid w:val="00E00CD9"/>
    <w:rsid w:val="00E01928"/>
    <w:rsid w:val="00E07622"/>
    <w:rsid w:val="00E238E9"/>
    <w:rsid w:val="00E668F5"/>
    <w:rsid w:val="00F557F2"/>
    <w:rsid w:val="00F650F0"/>
    <w:rsid w:val="00F74BB4"/>
    <w:rsid w:val="00F82675"/>
    <w:rsid w:val="00F9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AB3B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3B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en-AU"/>
    </w:rPr>
  </w:style>
  <w:style w:type="character" w:customStyle="1" w:styleId="CommentTextChar">
    <w:name w:val="Comment Text Char"/>
    <w:link w:val="CommentText"/>
    <w:rsid w:val="00AB3B4E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3B4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1B9"/>
    <w:pPr>
      <w:spacing w:after="200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F901B9"/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C52E14"/>
    <w:pPr>
      <w:ind w:left="720"/>
      <w:contextualSpacing/>
    </w:pPr>
  </w:style>
  <w:style w:type="paragraph" w:styleId="Revision">
    <w:name w:val="Revision"/>
    <w:hidden/>
    <w:uiPriority w:val="99"/>
    <w:semiHidden/>
    <w:rsid w:val="00B54BAA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55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B55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5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B55C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859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72d8744d-2c47-46f4-9bdd-407e14137c3c" xsi:nil="true"/>
    <Nexus_SecurityClassification xmlns="72d8744d-2c47-46f4-9bdd-407e14137c3c">UNCLASSIFIED</Nexus_SecurityClassification>
    <Nexus_ReadOnly xmlns="72d8744d-2c47-46f4-9bdd-407e14137c3c" xsi:nil="true"/>
    <Reporting_x0020_category xmlns="95ee723f-7e30-47a4-b556-fd4bfa065a81">Proactive release</Reporting_x0020_category>
    <Nexus_MetadataSummary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4EB8CA558F2C6042A832EDA2471880AF" ma:contentTypeVersion="3" ma:contentTypeDescription="QTT document content type to be used in active sites" ma:contentTypeScope="" ma:versionID="30d15c37b2e71ce94dff8ddf2a462e7b">
  <xsd:schema xmlns:xsd="http://www.w3.org/2001/XMLSchema" xmlns:xs="http://www.w3.org/2001/XMLSchema" xmlns:p="http://schemas.microsoft.com/office/2006/metadata/properties" xmlns:ns2="http://schemas.microsoft.com/Sharepoint/v3" xmlns:ns3="72d8744d-2c47-46f4-9bdd-407e14137c3c" xmlns:ns4="95ee723f-7e30-47a4-b556-fd4bfa065a81" targetNamespace="http://schemas.microsoft.com/office/2006/metadata/properties" ma:root="true" ma:fieldsID="e1cb2f079042908d169d2f362b71bffa" ns2:_="" ns3:_="" ns4:_="">
    <xsd:import namespace="http://schemas.microsoft.com/Sharepoint/v3"/>
    <xsd:import namespace="72d8744d-2c47-46f4-9bdd-407e14137c3c"/>
    <xsd:import namespace="95ee723f-7e30-47a4-b556-fd4bfa065a81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_dlc_DocId" minOccurs="0"/>
                <xsd:element ref="ns3:_dlc_DocIdUrl" minOccurs="0"/>
                <xsd:element ref="ns3:_dlc_DocIdPersistId" minOccurs="0"/>
                <xsd:element ref="ns4:Reporting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8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ReadOnly" ma:index="9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10" nillable="true" ma:displayName="Record" ma:internalName="Nexus_Record">
      <xsd:simpleType>
        <xsd:restriction base="dms:Text">
          <xsd:maxLength value="255"/>
        </xsd:restriction>
      </xsd:simpleType>
    </xsd:element>
    <xsd:element name="Nexus_SecurityClassification" ma:index="11" ma:displayName="Security classification" ma:default="UNCLASSIFIED" ma:description="Assessment of the requirements for confidentiality, availability and integrity of an asset." ma:format="Dropdown" ma:internalName="Nexus_SecurityClassification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e723f-7e30-47a4-b556-fd4bfa065a81" elementFormDefault="qualified">
    <xsd:import namespace="http://schemas.microsoft.com/office/2006/documentManagement/types"/>
    <xsd:import namespace="http://schemas.microsoft.com/office/infopath/2007/PartnerControls"/>
    <xsd:element name="Reporting_x0020_category" ma:index="15" nillable="true" ma:displayName="Reporting category" ma:default="Decision implementation" ma:format="Dropdown" ma:internalName="Reporting_x0020_category">
      <xsd:simpleType>
        <xsd:restriction base="dms:Choice">
          <xsd:enumeration value="Decision implementation"/>
          <xsd:enumeration value="Government commitments"/>
          <xsd:enumeration value="Six month action plan"/>
          <xsd:enumeration value="Proactive relea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FC01E-752C-419F-80DD-0D829F55D4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F8DE05-C29B-4675-954A-C58FC54A4A52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95ee723f-7e30-47a4-b556-fd4bfa065a8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630B7E5-B046-4345-831D-4866F3D92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d8744d-2c47-46f4-9bdd-407e14137c3c"/>
    <ds:schemaRef ds:uri="95ee723f-7e30-47a4-b556-fd4bfa065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2E1A3D-DA59-4346-AF93-4ECD0A7199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2511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2961</CharactersWithSpaces>
  <SharedDoc>false</SharedDoc>
  <HyperlinkBase>https://www.cabinet.qld.gov.au/documents/2015/Mar/PayrollTaxBill/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2015-08-06T07:03:00Z</cp:lastPrinted>
  <dcterms:created xsi:type="dcterms:W3CDTF">2017-10-25T01:33:00Z</dcterms:created>
  <dcterms:modified xsi:type="dcterms:W3CDTF">2018-03-06T01:29:00Z</dcterms:modified>
  <cp:category>Taxation,Employment,Building,Crime,Water,Legislation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0x010100C7BD08439FA548A39DD6F4EEA9A4DD920028A0CA45A385418C914557FFC286F13E004EB8CA558F2C6042A832EDA2471880AF</vt:lpwstr>
  </property>
  <property fmtid="{D5CDD505-2E9C-101B-9397-08002B2CF9AE}" pid="3" name="_dlc_DocIdItemGuid">
    <vt:lpwstr>daed2a1b-0639-4778-8159-023d6bd50c5d</vt:lpwstr>
  </property>
  <property fmtid="{D5CDD505-2E9C-101B-9397-08002B2CF9AE}" pid="4" name="_dlc_DocId">
    <vt:lpwstr>BUSNCLLO-74-12</vt:lpwstr>
  </property>
  <property fmtid="{D5CDD505-2E9C-101B-9397-08002B2CF9AE}" pid="5" name="_dlc_DocIdUrl">
    <vt:lpwstr>https://nexus.treasury.qld.gov.au/business/cabinet-services/dpc-reporting/_layouts/15/DocIdRedir.aspx?ID=BUSNCLLO-74-12, BUSNCLLO-74-12</vt:lpwstr>
  </property>
</Properties>
</file>